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49E17C66"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38B52839" w14:textId="590E3455" w:rsidR="00E21AB4"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4263DE5B" w14:textId="10FA904D" w:rsidR="00250F18" w:rsidRDefault="00250F18">
      <w:pPr>
        <w:widowControl/>
        <w:jc w:val="left"/>
        <w:rPr>
          <w:rFonts w:ascii="Times New Roman" w:eastAsia="ＭＳ 明朝" w:hAnsi="Times New Roman" w:cs="Times New Roman"/>
          <w:szCs w:val="20"/>
        </w:rPr>
      </w:pPr>
    </w:p>
    <w:sectPr w:rsidR="00250F18" w:rsidSect="00181D9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81D90"/>
    <w:rsid w:val="00195406"/>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